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bCs w:val="1"/>
          <w:sz w:val="28"/>
          <w:szCs w:val="28"/>
        </w:rPr>
      </w:pPr>
      <w:r w:rsidDel="00000000" w:rsidR="00000000" w:rsidRPr="00000000">
        <w:rPr>
          <w:b w:val="1"/>
          <w:bCs w:val="1"/>
          <w:sz w:val="28"/>
          <w:szCs w:val="28"/>
          <w:rtl w:val="0"/>
        </w:rPr>
        <w:t xml:space="preserve">OBJECT CARPET honoured as a ‘Major German Brand 2026’</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OBJECT CARPET has once again been honoured by the German Design Council as one of the ‘Major German Brands 2026’. With this recognition, the Council acknowledges exceptional German brands that stand out for their design excellence, innovation and entrepreneurial responsibility ‘Made in Germany’. The award thus underlines OBJECT CARPET's role as a pioneer and innovator in floor architecture, particularly in the field of circular economy.</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Being featured in the renowned publication series “The Major German Brands” is a clear testament to OBJECT CARPET’s continuous innovative strength. This year’s edition highlights companies that drive transformation processes with solution-oriented and forward-thinking approaches. Guided by the motto “transformative power of design,” it encourages a holistic understanding of design and its integration into corporate DNA. Design is not only essential for product and brand differentiation, but should also be a key component in corporate strategy, transformation, and innovation. </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OBJECT CARPET is presented in the book as a trailblazer in the industry: with its multi-award-winning carpet solutions, the company makes a significant contribution to the aesthetics and functionality of modern interior design. Particular emphasis is placed on its consistent focus on sustainability, recycling and circularity – principles that unite design with a clear commitment to environmental responsibility.</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The ceremonial presentation of the new ‘Major German Brands 2026’ edition took place at an exclusive design gala at Soho House Berlin. The award motivates OBJECT CARPET to continue pushing the boundaries of circular design and material innovation, creating inspiring ‘feel-good spaces’ in the future.</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p7OiufQvJ//FoX95JMdvWDpD8g==">CgMxLjA4AHIhMWJsYldxSFJqdGpJcG8wekxVaExyd0lla2Ryd1ROWF8w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